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2480B" w14:textId="77777777" w:rsidR="00FB01AD" w:rsidRPr="005675DD" w:rsidRDefault="00776106" w:rsidP="005675DD">
      <w:pPr>
        <w:spacing w:after="0"/>
        <w:rPr>
          <w:color w:val="000000"/>
        </w:rPr>
      </w:pPr>
      <w:bookmarkStart w:id="0" w:name="_GoBack"/>
      <w:bookmarkEnd w:id="0"/>
      <w:r>
        <w:t>S</w:t>
      </w:r>
      <w:r w:rsidR="009A7D71">
        <w:t>mlouva</w:t>
      </w:r>
      <w:r>
        <w:t xml:space="preserve"> o dílo</w:t>
      </w:r>
      <w:r w:rsidR="006E7652">
        <w:t>:</w:t>
      </w:r>
      <w:r w:rsidR="006E7652">
        <w:tab/>
      </w:r>
      <w:r w:rsidR="006E7652">
        <w:tab/>
      </w:r>
      <w:r w:rsidR="006E7652">
        <w:tab/>
      </w:r>
      <w:r w:rsidR="007A00D7" w:rsidRPr="005C78AB">
        <w:rPr>
          <w:b/>
        </w:rPr>
        <w:t>„</w:t>
      </w:r>
      <w:r w:rsidR="00556DB7">
        <w:rPr>
          <w:b/>
        </w:rPr>
        <w:t xml:space="preserve">Areál </w:t>
      </w:r>
      <w:r w:rsidR="00556DB7" w:rsidRPr="001427F9">
        <w:rPr>
          <w:b/>
          <w:szCs w:val="22"/>
        </w:rPr>
        <w:t>tramvaje Poruba – Optimalizace a rekonstrukce osvětlení haly</w:t>
      </w:r>
      <w:r w:rsidR="00556DB7">
        <w:rPr>
          <w:b/>
          <w:szCs w:val="22"/>
        </w:rPr>
        <w:t>“</w:t>
      </w:r>
    </w:p>
    <w:p w14:paraId="33C2BC37" w14:textId="77777777" w:rsidR="005675DD" w:rsidRDefault="00043544" w:rsidP="00FB01AD">
      <w:pPr>
        <w:spacing w:after="0"/>
        <w:rPr>
          <w:color w:val="000000"/>
        </w:rPr>
      </w:pPr>
      <w:r>
        <w:t xml:space="preserve">Číslo smlouvy </w:t>
      </w:r>
      <w:r w:rsidR="00776106">
        <w:t>objednatele</w:t>
      </w:r>
      <w:r w:rsidR="006E7652">
        <w:t>:</w:t>
      </w:r>
      <w:r w:rsidR="006E7652">
        <w:tab/>
      </w:r>
      <w:r w:rsidR="005716BF" w:rsidRPr="00EF2887">
        <w:rPr>
          <w:i/>
          <w:color w:val="00B0F0"/>
          <w:szCs w:val="22"/>
        </w:rPr>
        <w:t>(</w:t>
      </w:r>
      <w:r w:rsidR="005716BF">
        <w:rPr>
          <w:i/>
          <w:color w:val="00B0F0"/>
          <w:szCs w:val="22"/>
        </w:rPr>
        <w:t xml:space="preserve">POZN. </w:t>
      </w:r>
      <w:r w:rsidR="005716BF" w:rsidRPr="00EF2887">
        <w:rPr>
          <w:i/>
          <w:color w:val="00B0F0"/>
          <w:szCs w:val="22"/>
        </w:rPr>
        <w:t>doplní</w:t>
      </w:r>
      <w:r w:rsidR="005716BF">
        <w:rPr>
          <w:i/>
          <w:color w:val="00B0F0"/>
          <w:szCs w:val="22"/>
        </w:rPr>
        <w:t xml:space="preserve"> objednatel)</w:t>
      </w:r>
    </w:p>
    <w:p w14:paraId="50BB6B3D" w14:textId="77777777"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9F7761">
        <w:rPr>
          <w:i/>
          <w:color w:val="00B0F0"/>
          <w:szCs w:val="22"/>
        </w:rPr>
        <w:t>zhotovitel</w:t>
      </w:r>
      <w:r w:rsidR="00B8063F" w:rsidRPr="00EF2887">
        <w:rPr>
          <w:i/>
          <w:color w:val="00B0F0"/>
          <w:szCs w:val="22"/>
        </w:rPr>
        <w:t>, poté poznámku vymažte)</w:t>
      </w:r>
    </w:p>
    <w:p w14:paraId="410DD428" w14:textId="77777777" w:rsidR="0087779A" w:rsidRPr="0087779A" w:rsidRDefault="00FB01AD" w:rsidP="007A00D7">
      <w:pPr>
        <w:pStyle w:val="Nadpis1"/>
        <w:spacing w:before="480" w:after="240"/>
        <w:jc w:val="both"/>
        <w:rPr>
          <w:bCs/>
          <w:i/>
        </w:rPr>
      </w:pPr>
      <w:r>
        <w:t xml:space="preserve">Příloha č. </w:t>
      </w:r>
      <w:r w:rsidR="006965FE">
        <w:t>5</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14:paraId="4A90E9EF"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w:t>
      </w:r>
      <w:r w:rsidR="00A40E32">
        <w:rPr>
          <w:sz w:val="22"/>
          <w:szCs w:val="22"/>
        </w:rPr>
        <w:t>ramvaje Poruba</w:t>
      </w:r>
    </w:p>
    <w:p w14:paraId="346B42C7" w14:textId="0C0D129F"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7A00D7">
        <w:rPr>
          <w:b w:val="0"/>
          <w:sz w:val="22"/>
          <w:szCs w:val="22"/>
        </w:rPr>
        <w:t>2</w:t>
      </w:r>
      <w:r w:rsidR="002629C5">
        <w:rPr>
          <w:b w:val="0"/>
          <w:sz w:val="22"/>
          <w:szCs w:val="22"/>
        </w:rPr>
        <w:t>.</w:t>
      </w:r>
      <w:r w:rsidR="00365A3B">
        <w:rPr>
          <w:b w:val="0"/>
          <w:sz w:val="22"/>
          <w:szCs w:val="22"/>
        </w:rPr>
        <w:t>2</w:t>
      </w:r>
      <w:r w:rsidR="003B7EB5">
        <w:rPr>
          <w:b w:val="0"/>
          <w:sz w:val="22"/>
          <w:szCs w:val="22"/>
        </w:rPr>
        <w:t>.1</w:t>
      </w:r>
      <w:r w:rsidR="002629C5">
        <w:rPr>
          <w:b w:val="0"/>
          <w:sz w:val="22"/>
          <w:szCs w:val="22"/>
        </w:rPr>
        <w:t>,</w:t>
      </w:r>
      <w:r w:rsidR="007F5D00" w:rsidRPr="00E00860">
        <w:rPr>
          <w:b w:val="0"/>
          <w:sz w:val="22"/>
          <w:szCs w:val="22"/>
        </w:rPr>
        <w:t xml:space="preserve"> bude dílo prováděno </w:t>
      </w:r>
      <w:r w:rsidR="003C6CE2">
        <w:rPr>
          <w:b w:val="0"/>
          <w:sz w:val="22"/>
          <w:szCs w:val="22"/>
        </w:rPr>
        <w:t xml:space="preserve">za provozu, </w:t>
      </w:r>
      <w:r w:rsidR="007F5D00" w:rsidRPr="00E00860">
        <w:rPr>
          <w:b w:val="0"/>
          <w:sz w:val="22"/>
          <w:szCs w:val="22"/>
        </w:rPr>
        <w:t xml:space="preserve">bez </w:t>
      </w:r>
      <w:r w:rsidR="003C6CE2">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v  hal</w:t>
      </w:r>
      <w:r w:rsidR="00A40E32">
        <w:rPr>
          <w:b w:val="0"/>
          <w:sz w:val="22"/>
          <w:szCs w:val="22"/>
        </w:rPr>
        <w:t>e</w:t>
      </w:r>
      <w:r w:rsidR="005E0A97">
        <w:rPr>
          <w:b w:val="0"/>
          <w:sz w:val="22"/>
          <w:szCs w:val="22"/>
        </w:rPr>
        <w:t xml:space="preserve"> a </w:t>
      </w:r>
      <w:r w:rsidR="00C566BB" w:rsidRPr="00E00860">
        <w:rPr>
          <w:b w:val="0"/>
          <w:sz w:val="22"/>
          <w:szCs w:val="22"/>
        </w:rPr>
        <w:t>v</w:t>
      </w:r>
      <w:r w:rsidR="00A40E32">
        <w:rPr>
          <w:b w:val="0"/>
          <w:sz w:val="22"/>
          <w:szCs w:val="22"/>
        </w:rPr>
        <w:t> </w:t>
      </w:r>
      <w:r w:rsidR="00C566BB" w:rsidRPr="00E00860">
        <w:rPr>
          <w:b w:val="0"/>
          <w:sz w:val="22"/>
          <w:szCs w:val="22"/>
        </w:rPr>
        <w:t>Areálu</w:t>
      </w:r>
      <w:r w:rsidR="00A40E32">
        <w:rPr>
          <w:b w:val="0"/>
          <w:sz w:val="22"/>
          <w:szCs w:val="22"/>
        </w:rPr>
        <w:t xml:space="preserve"> tramvaje Poruba</w:t>
      </w:r>
      <w:r w:rsidR="00C566BB" w:rsidRPr="00E00860">
        <w:rPr>
          <w:b w:val="0"/>
          <w:sz w:val="22"/>
          <w:szCs w:val="22"/>
        </w:rPr>
        <w:t xml:space="preserve">. </w:t>
      </w:r>
    </w:p>
    <w:p w14:paraId="11ED94AD" w14:textId="6CB05E08"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F26D44">
        <w:rPr>
          <w:b w:val="0"/>
          <w:sz w:val="22"/>
          <w:szCs w:val="22"/>
        </w:rPr>
        <w:t>0</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626D7628" w14:textId="77777777"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A40E32">
        <w:rPr>
          <w:b w:val="0"/>
          <w:sz w:val="22"/>
          <w:szCs w:val="22"/>
        </w:rPr>
        <w:t xml:space="preserve">tramvajové </w:t>
      </w:r>
      <w:r w:rsidR="003C7A03">
        <w:rPr>
          <w:b w:val="0"/>
          <w:sz w:val="22"/>
          <w:szCs w:val="22"/>
        </w:rPr>
        <w:t>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w:t>
      </w:r>
      <w:r w:rsidR="00A40E32">
        <w:rPr>
          <w:b w:val="0"/>
          <w:sz w:val="22"/>
          <w:szCs w:val="22"/>
        </w:rPr>
        <w:t xml:space="preserve">a v hale </w:t>
      </w:r>
      <w:r w:rsidR="008104E2">
        <w:rPr>
          <w:b w:val="0"/>
          <w:sz w:val="22"/>
          <w:szCs w:val="22"/>
        </w:rPr>
        <w:t xml:space="preserve">(bez </w:t>
      </w:r>
      <w:r w:rsidR="00936D75">
        <w:rPr>
          <w:b w:val="0"/>
          <w:sz w:val="22"/>
          <w:szCs w:val="22"/>
        </w:rPr>
        <w:t>nutnosti</w:t>
      </w:r>
      <w:r w:rsidR="008104E2">
        <w:rPr>
          <w:b w:val="0"/>
          <w:sz w:val="22"/>
          <w:szCs w:val="22"/>
        </w:rPr>
        <w:t xml:space="preserve">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A40E32">
        <w:rPr>
          <w:b w:val="0"/>
          <w:sz w:val="22"/>
          <w:szCs w:val="22"/>
        </w:rPr>
        <w:t xml:space="preserve">tramvajové </w:t>
      </w:r>
      <w:r w:rsidR="00FC1520">
        <w:rPr>
          <w:b w:val="0"/>
          <w:sz w:val="22"/>
          <w:szCs w:val="22"/>
        </w:rPr>
        <w:t>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1C5AB70C" w14:textId="77777777" w:rsidR="003C6CE2"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w:t>
      </w:r>
      <w:r w:rsidR="00A40E32">
        <w:rPr>
          <w:b w:val="0"/>
          <w:sz w:val="22"/>
          <w:szCs w:val="22"/>
        </w:rPr>
        <w:t xml:space="preserve"> haly a </w:t>
      </w:r>
      <w:r>
        <w:rPr>
          <w:b w:val="0"/>
          <w:sz w:val="22"/>
          <w:szCs w:val="22"/>
        </w:rPr>
        <w:t>ostatních objektů v areálu.</w:t>
      </w:r>
      <w:r w:rsidR="003C6CE2">
        <w:rPr>
          <w:b w:val="0"/>
          <w:sz w:val="22"/>
          <w:szCs w:val="22"/>
        </w:rPr>
        <w:t xml:space="preserve"> </w:t>
      </w:r>
    </w:p>
    <w:p w14:paraId="5F2D0B05" w14:textId="4683C973" w:rsidR="003C6CE2" w:rsidRDefault="0060419C" w:rsidP="003C6CE2">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hal</w:t>
      </w:r>
      <w:r w:rsidR="00A40E32">
        <w:rPr>
          <w:b w:val="0"/>
          <w:sz w:val="22"/>
          <w:szCs w:val="22"/>
        </w:rPr>
        <w:t>e</w:t>
      </w:r>
      <w:r w:rsidR="0089466A">
        <w:rPr>
          <w:b w:val="0"/>
          <w:sz w:val="22"/>
          <w:szCs w:val="22"/>
        </w:rPr>
        <w:t>,</w:t>
      </w:r>
      <w:r w:rsidR="00A40E32">
        <w:rPr>
          <w:b w:val="0"/>
          <w:sz w:val="22"/>
          <w:szCs w:val="22"/>
        </w:rPr>
        <w:t xml:space="preserve"> vždy pouze s částečným omezením provozu </w:t>
      </w:r>
      <w:r w:rsidR="00AF52E8">
        <w:rPr>
          <w:b w:val="0"/>
          <w:sz w:val="22"/>
          <w:szCs w:val="22"/>
        </w:rPr>
        <w:t xml:space="preserve">v určité části haly, </w:t>
      </w:r>
      <w:r w:rsidR="00A40E32">
        <w:rPr>
          <w:b w:val="0"/>
          <w:sz w:val="22"/>
          <w:szCs w:val="22"/>
        </w:rPr>
        <w:t>po jednotlivých etapách</w:t>
      </w:r>
      <w:r w:rsidR="00AF52E8">
        <w:rPr>
          <w:b w:val="0"/>
          <w:sz w:val="22"/>
          <w:szCs w:val="22"/>
        </w:rPr>
        <w:t>/částech</w:t>
      </w:r>
      <w:r>
        <w:rPr>
          <w:b w:val="0"/>
          <w:sz w:val="22"/>
          <w:szCs w:val="22"/>
        </w:rPr>
        <w:t xml:space="preserve">. Práce na realizaci stavby budou probíhat </w:t>
      </w:r>
      <w:r w:rsidR="003C6CE2">
        <w:rPr>
          <w:b w:val="0"/>
          <w:sz w:val="22"/>
          <w:szCs w:val="22"/>
        </w:rPr>
        <w:t xml:space="preserve">postupně, </w:t>
      </w:r>
      <w:r>
        <w:rPr>
          <w:b w:val="0"/>
          <w:sz w:val="22"/>
          <w:szCs w:val="22"/>
        </w:rPr>
        <w:t xml:space="preserve">po předchozí dohodě mezi objednatelem a zhotovitelem. </w:t>
      </w:r>
    </w:p>
    <w:p w14:paraId="48D419A4" w14:textId="47799F46" w:rsidR="0054374F" w:rsidRDefault="0054374F" w:rsidP="0054374F">
      <w:pPr>
        <w:pStyle w:val="Zkladntext3"/>
        <w:tabs>
          <w:tab w:val="left" w:pos="7455"/>
        </w:tabs>
        <w:spacing w:after="120"/>
        <w:ind w:left="851"/>
        <w:rPr>
          <w:b w:val="0"/>
          <w:sz w:val="22"/>
          <w:szCs w:val="22"/>
        </w:rPr>
      </w:pPr>
      <w:r>
        <w:rPr>
          <w:b w:val="0"/>
          <w:sz w:val="22"/>
          <w:szCs w:val="22"/>
        </w:rPr>
        <w:t xml:space="preserve">Při provádění všech prací je nutné zabezpečit trolejové vedení v hale a v areálu vypnutím. Před zahájením prací objednatel na žádost zhotovitele, za úhradu, zajistí vypnutí trolejového vedení a vystaví příkaz „B“ pro každou část haly, pro každou jednotlivou etapu prací. </w:t>
      </w:r>
    </w:p>
    <w:p w14:paraId="5E0C997A" w14:textId="77777777" w:rsidR="0060419C" w:rsidRDefault="003C6CE2" w:rsidP="003C6CE2">
      <w:pPr>
        <w:pStyle w:val="Zkladntext3"/>
        <w:tabs>
          <w:tab w:val="left" w:pos="7455"/>
        </w:tabs>
        <w:spacing w:after="120"/>
        <w:ind w:left="851"/>
        <w:rPr>
          <w:b w:val="0"/>
          <w:sz w:val="22"/>
          <w:szCs w:val="22"/>
        </w:rPr>
      </w:pPr>
      <w:r>
        <w:rPr>
          <w:b w:val="0"/>
          <w:sz w:val="22"/>
          <w:szCs w:val="22"/>
        </w:rPr>
        <w:t>Po celou dobu realizace stavby musí být neustále zajištěno umělé osvětlení v</w:t>
      </w:r>
      <w:r w:rsidR="00936D75">
        <w:rPr>
          <w:b w:val="0"/>
          <w:sz w:val="22"/>
          <w:szCs w:val="22"/>
        </w:rPr>
        <w:t> </w:t>
      </w:r>
      <w:r>
        <w:rPr>
          <w:b w:val="0"/>
          <w:sz w:val="22"/>
          <w:szCs w:val="22"/>
        </w:rPr>
        <w:t>hale</w:t>
      </w:r>
      <w:r w:rsidR="00936D75">
        <w:rPr>
          <w:b w:val="0"/>
          <w:sz w:val="22"/>
          <w:szCs w:val="22"/>
        </w:rPr>
        <w:t xml:space="preserve"> a v areálu</w:t>
      </w:r>
      <w:r>
        <w:rPr>
          <w:b w:val="0"/>
          <w:sz w:val="22"/>
          <w:szCs w:val="22"/>
        </w:rPr>
        <w:t>, pro plynulé fungování provozu</w:t>
      </w:r>
      <w:r w:rsidR="00936D75">
        <w:rPr>
          <w:b w:val="0"/>
          <w:sz w:val="22"/>
          <w:szCs w:val="22"/>
        </w:rPr>
        <w:t xml:space="preserve"> objednatele</w:t>
      </w:r>
      <w:r>
        <w:rPr>
          <w:b w:val="0"/>
          <w:sz w:val="22"/>
          <w:szCs w:val="22"/>
        </w:rPr>
        <w:t>.</w:t>
      </w:r>
    </w:p>
    <w:p w14:paraId="6BF1C8E9"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35B58882"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1042B26E"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69C3D936" w14:textId="77777777"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w:t>
      </w:r>
      <w:r w:rsidR="00A40E32">
        <w:rPr>
          <w:b w:val="0"/>
          <w:sz w:val="22"/>
          <w:szCs w:val="22"/>
        </w:rPr>
        <w:t>amvaje Poruba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1970CFC0" w14:textId="77777777"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 xml:space="preserve">v Areálu </w:t>
      </w:r>
      <w:r w:rsidR="005E0A97">
        <w:rPr>
          <w:sz w:val="22"/>
        </w:rPr>
        <w:t>t</w:t>
      </w:r>
      <w:r w:rsidR="00A40E32">
        <w:rPr>
          <w:sz w:val="22"/>
        </w:rPr>
        <w:t>ramvaje Poruba</w:t>
      </w:r>
      <w:r w:rsidR="003C7A03">
        <w:rPr>
          <w:sz w:val="22"/>
        </w:rPr>
        <w:t xml:space="preserve"> </w:t>
      </w:r>
      <w:r w:rsidRPr="008512C2">
        <w:rPr>
          <w:sz w:val="22"/>
        </w:rPr>
        <w:t xml:space="preserve">– </w:t>
      </w:r>
      <w:bookmarkEnd w:id="1"/>
      <w:r w:rsidRPr="008512C2">
        <w:rPr>
          <w:sz w:val="22"/>
        </w:rPr>
        <w:t xml:space="preserve">zhotovitel, zaměstnanec zhotovitele </w:t>
      </w:r>
    </w:p>
    <w:p w14:paraId="17DEB824"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564B0A2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17D25D0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Vstup a pohyb zhotovitele, zaměstnanců zhotovitele v areálu objednatele se </w:t>
      </w:r>
      <w:proofErr w:type="gramStart"/>
      <w:r w:rsidRPr="00174679">
        <w:rPr>
          <w:rFonts w:ascii="Times New Roman" w:hAnsi="Times New Roman" w:cs="Times New Roman"/>
        </w:rPr>
        <w:t>předpokládá</w:t>
      </w:r>
      <w:proofErr w:type="gramEnd"/>
      <w:r w:rsidRPr="00174679">
        <w:rPr>
          <w:rFonts w:ascii="Times New Roman" w:hAnsi="Times New Roman" w:cs="Times New Roman"/>
        </w:rPr>
        <w:t xml:space="preserve"> zejména v pracovní dny v provozní době od 6.00 do 22.00 hod. Při požadavku prací v době od 14.00 do 22.00 hod. </w:t>
      </w:r>
      <w:proofErr w:type="gramStart"/>
      <w:r w:rsidRPr="00174679">
        <w:rPr>
          <w:rFonts w:ascii="Times New Roman" w:hAnsi="Times New Roman" w:cs="Times New Roman"/>
        </w:rPr>
        <w:t>zajistí</w:t>
      </w:r>
      <w:proofErr w:type="gramEnd"/>
      <w:r w:rsidRPr="00174679">
        <w:rPr>
          <w:rFonts w:ascii="Times New Roman" w:hAnsi="Times New Roman" w:cs="Times New Roman"/>
        </w:rPr>
        <w:t xml:space="preserve"> dozor pověřený pracovník objednatele.</w:t>
      </w:r>
    </w:p>
    <w:p w14:paraId="7C47B8F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669003B8" w14:textId="77777777" w:rsidR="006258B1" w:rsidRPr="000D448A" w:rsidRDefault="006258B1" w:rsidP="000D448A">
      <w:pPr>
        <w:pStyle w:val="Zkladntext3"/>
        <w:numPr>
          <w:ilvl w:val="0"/>
          <w:numId w:val="21"/>
        </w:numPr>
        <w:spacing w:after="120"/>
        <w:rPr>
          <w:b w:val="0"/>
          <w:sz w:val="22"/>
          <w:szCs w:val="22"/>
        </w:rPr>
      </w:pPr>
      <w:r w:rsidRPr="000D448A">
        <w:rPr>
          <w:b w:val="0"/>
          <w:sz w:val="22"/>
          <w:szCs w:val="22"/>
        </w:rPr>
        <w:lastRenderedPageBreak/>
        <w:t xml:space="preserve">Zhotovitel předá objednateli seznam osob, které budou vstupovat na místa plnění za účelem plnění závazků z této smlouvy nejpozději do 48 hodin před účinnosti smlouvy. Seznam předá pověřené osobě objednatele ve věcech technických uvedené v této smlouvě. </w:t>
      </w:r>
    </w:p>
    <w:p w14:paraId="3DEB8CF9"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108C1236"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14:paraId="68A36EB7"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60DB5F29"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14:paraId="5ADE8B53"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14:paraId="2693CA6B"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0EC9277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 této smlouvě.  </w:t>
      </w:r>
    </w:p>
    <w:p w14:paraId="55FCBE3A" w14:textId="77777777"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5C1A8C6A" w14:textId="77777777"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w:t>
      </w:r>
      <w:proofErr w:type="gramStart"/>
      <w:r w:rsidRPr="00A43DAD">
        <w:rPr>
          <w:rFonts w:ascii="Times New Roman" w:hAnsi="Times New Roman"/>
          <w:sz w:val="22"/>
          <w:szCs w:val="22"/>
          <w:lang w:val="cs-CZ"/>
        </w:rPr>
        <w:t>…</w:t>
      </w:r>
      <w:proofErr w:type="gramEnd"/>
      <w:r w:rsidRPr="00A43DAD">
        <w:rPr>
          <w:rFonts w:ascii="Times New Roman" w:hAnsi="Times New Roman"/>
          <w:sz w:val="22"/>
          <w:szCs w:val="22"/>
          <w:lang w:val="cs-CZ"/>
        </w:rPr>
        <w:t xml:space="preserve">. </w:t>
      </w:r>
      <w:proofErr w:type="gramStart"/>
      <w:r w:rsidRPr="00A43DAD">
        <w:rPr>
          <w:rFonts w:ascii="Times New Roman" w:hAnsi="Times New Roman"/>
          <w:sz w:val="22"/>
          <w:szCs w:val="22"/>
          <w:lang w:val="cs-CZ"/>
        </w:rPr>
        <w:t>dne</w:t>
      </w:r>
      <w:proofErr w:type="gramEnd"/>
      <w:r w:rsidRPr="00A43DAD">
        <w:rPr>
          <w:rFonts w:ascii="Times New Roman" w:hAnsi="Times New Roman"/>
          <w:sz w:val="22"/>
          <w:szCs w:val="22"/>
          <w:lang w:val="cs-CZ"/>
        </w:rPr>
        <w:t xml:space="preserve"> ....................</w:t>
      </w:r>
    </w:p>
    <w:p w14:paraId="01899414" w14:textId="77777777" w:rsidR="00A43DAD" w:rsidRDefault="00A43DAD" w:rsidP="00A43DAD">
      <w:pPr>
        <w:pStyle w:val="Text"/>
        <w:spacing w:line="240" w:lineRule="auto"/>
        <w:ind w:left="567" w:right="21" w:hanging="567"/>
        <w:rPr>
          <w:rFonts w:ascii="Times New Roman" w:hAnsi="Times New Roman"/>
          <w:sz w:val="22"/>
          <w:szCs w:val="22"/>
          <w:lang w:val="cs-CZ"/>
        </w:rPr>
      </w:pPr>
    </w:p>
    <w:p w14:paraId="16028761" w14:textId="77777777" w:rsidR="003C7A03" w:rsidRDefault="003C7A03" w:rsidP="00A43DAD">
      <w:pPr>
        <w:pStyle w:val="Text"/>
        <w:spacing w:line="240" w:lineRule="auto"/>
        <w:ind w:left="567" w:right="21" w:hanging="567"/>
        <w:rPr>
          <w:rFonts w:ascii="Times New Roman" w:hAnsi="Times New Roman"/>
          <w:sz w:val="22"/>
          <w:szCs w:val="22"/>
          <w:lang w:val="cs-CZ"/>
        </w:rPr>
      </w:pPr>
    </w:p>
    <w:p w14:paraId="7A104BFC" w14:textId="77777777" w:rsidR="00A40E32" w:rsidRDefault="00A40E32" w:rsidP="00A43DAD">
      <w:pPr>
        <w:pStyle w:val="Text"/>
        <w:spacing w:line="240" w:lineRule="auto"/>
        <w:ind w:left="567" w:right="21" w:hanging="567"/>
        <w:rPr>
          <w:rFonts w:ascii="Times New Roman" w:hAnsi="Times New Roman"/>
          <w:sz w:val="22"/>
          <w:szCs w:val="22"/>
          <w:lang w:val="cs-CZ"/>
        </w:rPr>
      </w:pPr>
    </w:p>
    <w:p w14:paraId="5E3FED48" w14:textId="77777777" w:rsidR="00A40E32" w:rsidRPr="00A43DAD" w:rsidRDefault="00A40E32" w:rsidP="00A43DAD">
      <w:pPr>
        <w:pStyle w:val="Text"/>
        <w:spacing w:line="240" w:lineRule="auto"/>
        <w:ind w:left="567" w:right="21" w:hanging="567"/>
        <w:rPr>
          <w:rFonts w:ascii="Times New Roman" w:hAnsi="Times New Roman"/>
          <w:sz w:val="22"/>
          <w:szCs w:val="22"/>
          <w:lang w:val="cs-CZ"/>
        </w:rPr>
      </w:pPr>
    </w:p>
    <w:p w14:paraId="557EC696" w14:textId="77777777" w:rsidR="00A43DAD" w:rsidRPr="00A43DAD" w:rsidRDefault="00A43DAD" w:rsidP="008104E2">
      <w:pPr>
        <w:pStyle w:val="Zkladntext"/>
        <w:tabs>
          <w:tab w:val="left" w:pos="5670"/>
        </w:tabs>
        <w:rPr>
          <w:sz w:val="22"/>
          <w:szCs w:val="22"/>
        </w:rPr>
      </w:pPr>
      <w:r w:rsidRPr="00A43DAD">
        <w:rPr>
          <w:sz w:val="22"/>
          <w:szCs w:val="22"/>
        </w:rPr>
        <w:t>………………………………….</w:t>
      </w:r>
      <w:r w:rsidRPr="00A43DAD">
        <w:rPr>
          <w:sz w:val="22"/>
          <w:szCs w:val="22"/>
        </w:rPr>
        <w:tab/>
        <w:t>………………………………….</w:t>
      </w:r>
    </w:p>
    <w:p w14:paraId="7B9543C0" w14:textId="77777777" w:rsidR="00A43DAD" w:rsidRPr="008846EE" w:rsidRDefault="00FF367D" w:rsidP="00A62F09">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 xml:space="preserve">(POZN. doplní </w:t>
      </w:r>
      <w:r w:rsidR="009F7761">
        <w:rPr>
          <w:rFonts w:ascii="Times New Roman" w:hAnsi="Times New Roman"/>
          <w:i/>
          <w:color w:val="00B0F0"/>
          <w:sz w:val="22"/>
          <w:szCs w:val="22"/>
          <w:lang w:val="cs-CZ"/>
        </w:rPr>
        <w:t>zhotovitel</w:t>
      </w:r>
      <w:r w:rsidR="00A43DAD" w:rsidRPr="00A43DAD">
        <w:rPr>
          <w:rFonts w:ascii="Times New Roman" w:hAnsi="Times New Roman"/>
          <w:i/>
          <w:color w:val="00B0F0"/>
          <w:sz w:val="22"/>
          <w:szCs w:val="22"/>
          <w:lang w:val="cs-CZ"/>
        </w:rPr>
        <w:t>, poté poznámku vymažte)</w:t>
      </w:r>
    </w:p>
    <w:sectPr w:rsidR="00A43DAD" w:rsidRPr="008846EE" w:rsidSect="008104E2">
      <w:headerReference w:type="default" r:id="rId9"/>
      <w:footerReference w:type="default" r:id="rId10"/>
      <w:headerReference w:type="first" r:id="rId11"/>
      <w:footerReference w:type="first" r:id="rId12"/>
      <w:pgSz w:w="11906" w:h="16838" w:code="9"/>
      <w:pgMar w:top="1810" w:right="851" w:bottom="1276" w:left="851"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6318DC" w16cid:durableId="20DFCD1A"/>
  <w16cid:commentId w16cid:paraId="6FA6B95E" w16cid:durableId="20DFCC9E"/>
  <w16cid:commentId w16cid:paraId="4F033EEA" w16cid:durableId="20DFD29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BFA5A" w14:textId="77777777" w:rsidR="006E2ABC" w:rsidRDefault="006E2ABC" w:rsidP="00360830">
      <w:r>
        <w:separator/>
      </w:r>
    </w:p>
  </w:endnote>
  <w:endnote w:type="continuationSeparator" w:id="0">
    <w:p w14:paraId="492B26C3" w14:textId="77777777" w:rsidR="006E2ABC" w:rsidRDefault="006E2ABC"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0CA5" w14:textId="44A6D4DA" w:rsidR="00C44B82" w:rsidRPr="00CE2ED4" w:rsidRDefault="00800376"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4C2A19" w:rsidRPr="004C2A19">
              <w:rPr>
                <w:rFonts w:ascii="Times New Roman" w:hAnsi="Times New Roman" w:cs="Times New Roman"/>
                <w:i/>
                <w:sz w:val="20"/>
                <w:szCs w:val="20"/>
              </w:rPr>
              <w:t xml:space="preserve">Areál </w:t>
            </w:r>
            <w:r w:rsidR="00556DB7" w:rsidRPr="00556DB7">
              <w:rPr>
                <w:rFonts w:ascii="Times New Roman" w:hAnsi="Times New Roman" w:cs="Times New Roman"/>
                <w:i/>
                <w:sz w:val="20"/>
                <w:szCs w:val="20"/>
              </w:rPr>
              <w:t>tramvaje Poruba – Optimalizace a rekonstrukce osvětlení haly</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1DB77" w14:textId="4CBB429F" w:rsidR="00C44B82" w:rsidRPr="00CE2ED4" w:rsidRDefault="00800376"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4C2A19" w:rsidRPr="004C2A19">
              <w:rPr>
                <w:rFonts w:ascii="Times New Roman" w:hAnsi="Times New Roman" w:cs="Times New Roman"/>
                <w:i/>
                <w:sz w:val="20"/>
                <w:szCs w:val="20"/>
              </w:rPr>
              <w:t>Areál</w:t>
            </w:r>
            <w:r w:rsidR="00556DB7">
              <w:rPr>
                <w:rFonts w:ascii="Times New Roman" w:hAnsi="Times New Roman" w:cs="Times New Roman"/>
                <w:i/>
                <w:sz w:val="20"/>
                <w:szCs w:val="20"/>
              </w:rPr>
              <w:t xml:space="preserve"> </w:t>
            </w:r>
            <w:r w:rsidR="00556DB7" w:rsidRPr="00556DB7">
              <w:rPr>
                <w:rFonts w:ascii="Times New Roman" w:hAnsi="Times New Roman" w:cs="Times New Roman"/>
                <w:i/>
                <w:sz w:val="20"/>
                <w:szCs w:val="20"/>
              </w:rPr>
              <w:t>tramvaje Poruba – Optimalizace a rekonstrukce osvětlení haly“</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AEBCE" w14:textId="77777777" w:rsidR="006E2ABC" w:rsidRDefault="006E2ABC" w:rsidP="00360830">
      <w:r>
        <w:separator/>
      </w:r>
    </w:p>
  </w:footnote>
  <w:footnote w:type="continuationSeparator" w:id="0">
    <w:p w14:paraId="3519ADB2" w14:textId="77777777" w:rsidR="006E2ABC" w:rsidRDefault="006E2ABC"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AE8D" w14:textId="77777777" w:rsidR="00C44B82" w:rsidRPr="0087779A" w:rsidRDefault="00C44B82" w:rsidP="00846A13">
    <w:pPr>
      <w:pStyle w:val="Zhlav"/>
      <w:spacing w:after="0"/>
      <w:jc w:val="left"/>
      <w:rPr>
        <w:sz w:val="24"/>
        <w:szCs w:val="24"/>
      </w:rPr>
    </w:pPr>
  </w:p>
  <w:p w14:paraId="38A95B52"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74E29511" wp14:editId="337DA7E9">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99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769F5D7F" wp14:editId="5AD2D8C1">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02D25F6D"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BA383D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B0554CE"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69325D3"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65D25B9F" wp14:editId="5211D819">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561ED1F6" w14:textId="77777777" w:rsidR="00C44B82" w:rsidRDefault="00C44B82" w:rsidP="00001D28">
    <w:pPr>
      <w:pStyle w:val="Zhlav"/>
      <w:tabs>
        <w:tab w:val="clear" w:pos="4536"/>
        <w:tab w:val="clear" w:pos="9072"/>
      </w:tabs>
      <w:spacing w:after="0"/>
      <w:ind w:left="3402" w:firstLine="3"/>
      <w:jc w:val="right"/>
    </w:pPr>
  </w:p>
  <w:p w14:paraId="7769C10D"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448A"/>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529B8"/>
    <w:rsid w:val="00254106"/>
    <w:rsid w:val="00254C72"/>
    <w:rsid w:val="00260389"/>
    <w:rsid w:val="00262270"/>
    <w:rsid w:val="002629C5"/>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7099"/>
    <w:rsid w:val="002B73A0"/>
    <w:rsid w:val="002C08F2"/>
    <w:rsid w:val="002C3DE4"/>
    <w:rsid w:val="002C7149"/>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B04"/>
    <w:rsid w:val="00367F32"/>
    <w:rsid w:val="00383981"/>
    <w:rsid w:val="003B054A"/>
    <w:rsid w:val="003B5996"/>
    <w:rsid w:val="003B74C1"/>
    <w:rsid w:val="003B7EB5"/>
    <w:rsid w:val="003C0D66"/>
    <w:rsid w:val="003C0EB6"/>
    <w:rsid w:val="003C55AE"/>
    <w:rsid w:val="003C6CE2"/>
    <w:rsid w:val="003C7A03"/>
    <w:rsid w:val="003D02B6"/>
    <w:rsid w:val="003D09D1"/>
    <w:rsid w:val="003D510A"/>
    <w:rsid w:val="003E2407"/>
    <w:rsid w:val="003F2FA4"/>
    <w:rsid w:val="003F530B"/>
    <w:rsid w:val="004000D9"/>
    <w:rsid w:val="0040306D"/>
    <w:rsid w:val="004101ED"/>
    <w:rsid w:val="00410FA7"/>
    <w:rsid w:val="00412300"/>
    <w:rsid w:val="004151CC"/>
    <w:rsid w:val="004178F5"/>
    <w:rsid w:val="00417DC8"/>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4FA"/>
    <w:rsid w:val="004E50F0"/>
    <w:rsid w:val="004E694D"/>
    <w:rsid w:val="004E793F"/>
    <w:rsid w:val="004F151E"/>
    <w:rsid w:val="004F3A5E"/>
    <w:rsid w:val="004F5493"/>
    <w:rsid w:val="004F5F64"/>
    <w:rsid w:val="005033BC"/>
    <w:rsid w:val="005036FB"/>
    <w:rsid w:val="0051285C"/>
    <w:rsid w:val="00515F3A"/>
    <w:rsid w:val="005306E0"/>
    <w:rsid w:val="00531695"/>
    <w:rsid w:val="0054047B"/>
    <w:rsid w:val="005429C7"/>
    <w:rsid w:val="0054374F"/>
    <w:rsid w:val="00552FFB"/>
    <w:rsid w:val="00554BA4"/>
    <w:rsid w:val="00555AAB"/>
    <w:rsid w:val="005568D5"/>
    <w:rsid w:val="00556DB7"/>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709A"/>
    <w:rsid w:val="00600603"/>
    <w:rsid w:val="0060419C"/>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65FE"/>
    <w:rsid w:val="00697380"/>
    <w:rsid w:val="006A4BFA"/>
    <w:rsid w:val="006A74C6"/>
    <w:rsid w:val="006B27EC"/>
    <w:rsid w:val="006B618F"/>
    <w:rsid w:val="006C1A38"/>
    <w:rsid w:val="006E2ABC"/>
    <w:rsid w:val="006E7652"/>
    <w:rsid w:val="006F0523"/>
    <w:rsid w:val="006F50D2"/>
    <w:rsid w:val="00700C7E"/>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0376"/>
    <w:rsid w:val="00802B34"/>
    <w:rsid w:val="00803D2C"/>
    <w:rsid w:val="008052DE"/>
    <w:rsid w:val="00805F83"/>
    <w:rsid w:val="008104E2"/>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6D75"/>
    <w:rsid w:val="009376CC"/>
    <w:rsid w:val="00946CDA"/>
    <w:rsid w:val="009610D6"/>
    <w:rsid w:val="009615D5"/>
    <w:rsid w:val="00962141"/>
    <w:rsid w:val="00962F2F"/>
    <w:rsid w:val="009630FB"/>
    <w:rsid w:val="0096472F"/>
    <w:rsid w:val="00965AF2"/>
    <w:rsid w:val="00966664"/>
    <w:rsid w:val="00966E16"/>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5AD9"/>
    <w:rsid w:val="00A40E32"/>
    <w:rsid w:val="00A4294D"/>
    <w:rsid w:val="00A43DAD"/>
    <w:rsid w:val="00A44D55"/>
    <w:rsid w:val="00A62F09"/>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293"/>
    <w:rsid w:val="00BB56D9"/>
    <w:rsid w:val="00BB6CAE"/>
    <w:rsid w:val="00BC0799"/>
    <w:rsid w:val="00BC1662"/>
    <w:rsid w:val="00BC6C30"/>
    <w:rsid w:val="00BD4CFC"/>
    <w:rsid w:val="00BD6B3C"/>
    <w:rsid w:val="00BE3ADC"/>
    <w:rsid w:val="00BE7A62"/>
    <w:rsid w:val="00BE7A69"/>
    <w:rsid w:val="00BF0445"/>
    <w:rsid w:val="00BF0B15"/>
    <w:rsid w:val="00C06388"/>
    <w:rsid w:val="00C1231C"/>
    <w:rsid w:val="00C14DF4"/>
    <w:rsid w:val="00C162A1"/>
    <w:rsid w:val="00C20BED"/>
    <w:rsid w:val="00C21181"/>
    <w:rsid w:val="00C219F7"/>
    <w:rsid w:val="00C25EF0"/>
    <w:rsid w:val="00C27171"/>
    <w:rsid w:val="00C31BD0"/>
    <w:rsid w:val="00C35ED8"/>
    <w:rsid w:val="00C37193"/>
    <w:rsid w:val="00C41567"/>
    <w:rsid w:val="00C426D9"/>
    <w:rsid w:val="00C44B82"/>
    <w:rsid w:val="00C4616B"/>
    <w:rsid w:val="00C50376"/>
    <w:rsid w:val="00C51B38"/>
    <w:rsid w:val="00C566BB"/>
    <w:rsid w:val="00C633EE"/>
    <w:rsid w:val="00C64AE2"/>
    <w:rsid w:val="00C85F99"/>
    <w:rsid w:val="00C95FCA"/>
    <w:rsid w:val="00CA1A2F"/>
    <w:rsid w:val="00CA7004"/>
    <w:rsid w:val="00CB06B9"/>
    <w:rsid w:val="00CB22F0"/>
    <w:rsid w:val="00CB5F7B"/>
    <w:rsid w:val="00CD67BD"/>
    <w:rsid w:val="00CD7F76"/>
    <w:rsid w:val="00CE2ED4"/>
    <w:rsid w:val="00CE363F"/>
    <w:rsid w:val="00CE6C4F"/>
    <w:rsid w:val="00CF59CD"/>
    <w:rsid w:val="00CF7595"/>
    <w:rsid w:val="00D0438F"/>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52B1"/>
    <w:rsid w:val="00DB64BA"/>
    <w:rsid w:val="00DC060C"/>
    <w:rsid w:val="00DC255F"/>
    <w:rsid w:val="00DC39F2"/>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2F17"/>
    <w:rsid w:val="00F04EA3"/>
    <w:rsid w:val="00F16E35"/>
    <w:rsid w:val="00F234B1"/>
    <w:rsid w:val="00F26D44"/>
    <w:rsid w:val="00F40534"/>
    <w:rsid w:val="00F46085"/>
    <w:rsid w:val="00F5040E"/>
    <w:rsid w:val="00F539F2"/>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D721AA"/>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B9D5F-242B-4334-9047-88B1D944A553}">
  <ds:schemaRefs>
    <ds:schemaRef ds:uri="http://schemas.openxmlformats.org/officeDocument/2006/bibliography"/>
  </ds:schemaRefs>
</ds:datastoreItem>
</file>

<file path=customXml/itemProps2.xml><?xml version="1.0" encoding="utf-8"?>
<ds:datastoreItem xmlns:ds="http://schemas.openxmlformats.org/officeDocument/2006/customXml" ds:itemID="{EA279895-D420-407A-BF06-70630584D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4325</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2</cp:revision>
  <cp:lastPrinted>2017-03-23T06:20:00Z</cp:lastPrinted>
  <dcterms:created xsi:type="dcterms:W3CDTF">2019-08-26T09:24:00Z</dcterms:created>
  <dcterms:modified xsi:type="dcterms:W3CDTF">2019-08-26T09:24:00Z</dcterms:modified>
</cp:coreProperties>
</file>